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1714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714500" cy="666750"/>
                    </a:xfrm>
                    <a:prstGeom prst="rect">
                      <a:avLst/>
                    </a:prstGeom>
                  </pic:spPr>
                </pic:pic>
              </a:graphicData>
            </a:graphic>
          </wp:inline>
        </w:drawing>
      </w:r>
    </w:p>
    <w:p>
      <w:pPr>
        <w:pBdr>
          <w:bottom w:val="single" w:color="E84118" w:sz="6" w:space="8"/>
        </w:pBdr>
        <w:spacing w:after="40"/>
      </w:pPr>
      <w:r>
        <w:rPr>
          <w:rFonts w:ascii="Arial" w:cs="Arial" w:eastAsia="Arial" w:hAnsi="Arial"/>
          <w:i/>
          <w:iCs/>
          <w:color w:val="555555"/>
          <w:sz w:val="18"/>
          <w:szCs w:val="18"/>
        </w:rPr>
        <w:t xml:space="preserve">Creating AI Innovation</w:t>
      </w:r>
    </w:p>
    <w:p>
      <w:pPr>
        <w:spacing w:after="300"/>
      </w:pPr>
    </w:p>
    <w:p>
      <w:pPr>
        <w:spacing w:after="80"/>
      </w:pPr>
      <w:r>
        <w:rPr>
          <w:rFonts w:ascii="Arial" w:cs="Arial" w:eastAsia="Arial" w:hAnsi="Arial"/>
          <w:b/>
          <w:bCs/>
          <w:color w:val="1A1A2E"/>
          <w:sz w:val="36"/>
          <w:szCs w:val="36"/>
        </w:rPr>
        <w:t xml:space="preserve">Forward Deployed Engineer</w:t>
      </w:r>
    </w:p>
    <w:p>
      <w:pPr>
        <w:spacing w:after="40"/>
      </w:pPr>
      <w:r>
        <w:rPr>
          <w:rFonts w:ascii="Arial" w:cs="Arial" w:eastAsia="Arial" w:hAnsi="Arial"/>
          <w:b/>
          <w:bCs/>
          <w:color w:val="1A1A2E"/>
          <w:sz w:val="20"/>
          <w:szCs w:val="20"/>
        </w:rPr>
        <w:t xml:space="preserve">Location: </w:t>
      </w:r>
      <w:r>
        <w:rPr>
          <w:rFonts w:ascii="Arial" w:cs="Arial" w:eastAsia="Arial" w:hAnsi="Arial"/>
          <w:color w:val="555555"/>
          <w:sz w:val="20"/>
          <w:szCs w:val="20"/>
        </w:rPr>
        <w:t xml:space="preserve">Chennai (with travel across South India)</w:t>
      </w:r>
    </w:p>
    <w:p>
      <w:pPr>
        <w:spacing w:after="40"/>
      </w:pPr>
      <w:r>
        <w:rPr>
          <w:rFonts w:ascii="Arial" w:cs="Arial" w:eastAsia="Arial" w:hAnsi="Arial"/>
          <w:b/>
          <w:bCs/>
          <w:color w:val="1A1A2E"/>
          <w:sz w:val="20"/>
          <w:szCs w:val="20"/>
        </w:rPr>
        <w:t xml:space="preserve">Type: </w:t>
      </w:r>
      <w:r>
        <w:rPr>
          <w:rFonts w:ascii="Arial" w:cs="Arial" w:eastAsia="Arial" w:hAnsi="Arial"/>
          <w:color w:val="555555"/>
          <w:sz w:val="20"/>
          <w:szCs w:val="20"/>
        </w:rPr>
        <w:t xml:space="preserve">Full-time</w:t>
      </w:r>
    </w:p>
    <w:p>
      <w:pPr>
        <w:spacing w:after="40"/>
      </w:pPr>
      <w:r>
        <w:rPr>
          <w:rFonts w:ascii="Arial" w:cs="Arial" w:eastAsia="Arial" w:hAnsi="Arial"/>
          <w:b/>
          <w:bCs/>
          <w:color w:val="1A1A2E"/>
          <w:sz w:val="20"/>
          <w:szCs w:val="20"/>
        </w:rPr>
        <w:t xml:space="preserve">Work Style: </w:t>
      </w:r>
      <w:r>
        <w:rPr>
          <w:rFonts w:ascii="Arial" w:cs="Arial" w:eastAsia="Arial" w:hAnsi="Arial"/>
          <w:color w:val="555555"/>
          <w:sz w:val="20"/>
          <w:szCs w:val="20"/>
        </w:rPr>
        <w:t xml:space="preserve">In-office at Chennai</w:t>
      </w:r>
    </w:p>
    <w:p>
      <w:pPr>
        <w:spacing w:after="300"/>
      </w:pPr>
    </w:p>
    <w:p>
      <w:pPr>
        <w:pBdr>
          <w:bottom w:val="single" w:color="DDDDDD" w:sz="2" w:space="6"/>
        </w:pBdr>
        <w:spacing w:after="160" w:before="300"/>
      </w:pPr>
      <w:r>
        <w:rPr>
          <w:rFonts w:ascii="Arial" w:cs="Arial" w:eastAsia="Arial" w:hAnsi="Arial"/>
          <w:b/>
          <w:bCs/>
          <w:color w:val="E84118"/>
          <w:sz w:val="26"/>
          <w:szCs w:val="26"/>
        </w:rPr>
        <w:t xml:space="preserve">The Short Version</w:t>
      </w:r>
    </w:p>
    <w:p>
      <w:pPr>
        <w:spacing w:after="160"/>
      </w:pPr>
      <w:r>
        <w:rPr>
          <w:rFonts w:ascii="Arial" w:cs="Arial" w:eastAsia="Arial" w:hAnsi="Arial"/>
          <w:color w:val="333333"/>
          <w:sz w:val="21"/>
          <w:szCs w:val="21"/>
        </w:rPr>
        <w:t xml:space="preserve">You’re the engineer who makes Zetta real for our customers. Not in a “customer success manager who can read logs” way — in a “you write production code, debug Salesforce sync failures at a client’s office, build a custom data migration pipeline on-site, and fly back with three product insights that reshape our roadmap” way. If Palantir’s FDEs are the gold standard for this role, we’re building the Indian real estate equivalent.</w:t>
      </w:r>
    </w:p>
    <w:p>
      <w:pPr>
        <w:pBdr>
          <w:bottom w:val="single" w:color="DDDDDD" w:sz="2" w:space="6"/>
        </w:pBdr>
        <w:spacing w:after="160" w:before="300"/>
      </w:pPr>
      <w:r>
        <w:rPr>
          <w:rFonts w:ascii="Arial" w:cs="Arial" w:eastAsia="Arial" w:hAnsi="Arial"/>
          <w:b/>
          <w:bCs/>
          <w:color w:val="E84118"/>
          <w:sz w:val="26"/>
          <w:szCs w:val="26"/>
        </w:rPr>
        <w:t xml:space="preserve">What You’ll Actually Work On</w:t>
      </w:r>
    </w:p>
    <w:p>
      <w:pPr>
        <w:spacing w:after="160"/>
      </w:pPr>
      <w:r>
        <w:rPr>
          <w:rFonts w:ascii="Arial" w:cs="Arial" w:eastAsia="Arial" w:hAnsi="Arial"/>
          <w:color w:val="333333"/>
          <w:sz w:val="21"/>
          <w:szCs w:val="21"/>
        </w:rPr>
        <w:t xml:space="preserve">You’ll work directly with India’s largest real estate developers — companies running 10+ projects simultaneously, with hundreds of telecallers making thousands of calls daily. You’ll deploy Zetta into their existing operations, which means integrating with their Salesforce orgs (every one of them configured differently), their telephony providers, and their WhatsApp Business workflows.</w:t>
      </w:r>
    </w:p>
    <w:p>
      <w:pPr>
        <w:spacing w:after="160"/>
      </w:pPr>
      <w:r>
        <w:rPr>
          <w:rFonts w:ascii="Arial" w:cs="Arial" w:eastAsia="Arial" w:hAnsi="Arial"/>
          <w:color w:val="333333"/>
          <w:sz w:val="21"/>
          <w:szCs w:val="21"/>
        </w:rPr>
        <w:t xml:space="preserve">You’ll write custom integrations and data migration scripts. You’ll build workflow automations that map to how a specific developer’s sales team actually operates — not how a product manager imagined they would. You’ll configure our voice AI agents to handle project-specific terminology, pricing structures, and qualification criteria. You’ll understand why a developer in Coimbatore needs different call flows than one in Chennai.</w:t>
      </w:r>
    </w:p>
    <w:p>
      <w:pPr>
        <w:spacing w:after="160"/>
      </w:pPr>
      <w:r>
        <w:rPr>
          <w:rFonts w:ascii="Arial" w:cs="Arial" w:eastAsia="Arial" w:hAnsi="Arial"/>
          <w:color w:val="333333"/>
          <w:sz w:val="21"/>
          <w:szCs w:val="21"/>
        </w:rPr>
        <w:t xml:space="preserve">You’ll work with our full stack — React/Next.js, FastAPI, Supabase, Celery, Redis, DuckDB — but with a bias toward integration, configuration, and making things work in the messy reality of enterprise deployments. You’ll use agentic AI extensively in the field — building custom skills for common deployment patterns, writing slash commands that automate client configuration, and using evaluation harnesses to verify integrations work correctly before going live. You’ll run adversarial reviews on any AI-generated integration code before it touches a client’s production data.</w:t>
      </w:r>
    </w:p>
    <w:p>
      <w:pPr>
        <w:spacing w:after="160"/>
      </w:pPr>
      <w:r>
        <w:rPr>
          <w:rFonts w:ascii="Arial" w:cs="Arial" w:eastAsia="Arial" w:hAnsi="Arial"/>
          <w:color w:val="333333"/>
          <w:sz w:val="21"/>
          <w:szCs w:val="21"/>
        </w:rPr>
        <w:t xml:space="preserve">And critically, you’ll bring the field back to the product. Every client deployment teaches us something. You’ll be the person who notices that three different clients all struggle with the same workflow, and you’ll turn that observation into a product feature that solves it for everyone.</w:t>
      </w:r>
    </w:p>
    <w:p>
      <w:pPr>
        <w:pBdr>
          <w:bottom w:val="single" w:color="DDDDDD" w:sz="2" w:space="6"/>
        </w:pBdr>
        <w:spacing w:after="160" w:before="300"/>
      </w:pPr>
      <w:r>
        <w:rPr>
          <w:rFonts w:ascii="Arial" w:cs="Arial" w:eastAsia="Arial" w:hAnsi="Arial"/>
          <w:b/>
          <w:bCs/>
          <w:color w:val="E84118"/>
          <w:sz w:val="26"/>
          <w:szCs w:val="26"/>
        </w:rPr>
        <w:t xml:space="preserve">What We’re Looking For</w:t>
      </w:r>
    </w:p>
    <w:p>
      <w:pPr>
        <w:spacing w:after="160"/>
      </w:pPr>
      <w:r>
        <w:rPr>
          <w:rFonts w:ascii="Arial" w:cs="Arial" w:eastAsia="Arial" w:hAnsi="Arial"/>
          <w:color w:val="333333"/>
          <w:sz w:val="21"/>
          <w:szCs w:val="21"/>
        </w:rPr>
        <w:t xml:space="preserve">Full-stack engineering skills — you can write a React component, a Python API endpoint, and a SQL migration in the same afternoon. You’re comfortable with production systems and don’t panic when something breaks at a client site. Experience with Salesforce integrations, CRM data models, or enterprise software deployment is a strong plus.</w:t>
      </w:r>
    </w:p>
    <w:p>
      <w:pPr>
        <w:spacing w:after="160"/>
      </w:pPr>
      <w:r>
        <w:rPr>
          <w:rFonts w:ascii="Arial" w:cs="Arial" w:eastAsia="Arial" w:hAnsi="Arial"/>
          <w:color w:val="333333"/>
          <w:sz w:val="21"/>
          <w:szCs w:val="21"/>
        </w:rPr>
        <w:t xml:space="preserve">You understand Voice AI and telephony well enough to debug a call flow, configure a voice agent, or explain to a client why their call recordings need adjustments. You know enough about STT/TTS and LLMs to troubleshoot our voice agent’s behavior in the field.</w:t>
      </w:r>
    </w:p>
    <w:p>
      <w:pPr>
        <w:spacing w:after="160"/>
      </w:pPr>
      <w:r>
        <w:rPr>
          <w:rFonts w:ascii="Arial" w:cs="Arial" w:eastAsia="Arial" w:hAnsi="Arial"/>
          <w:color w:val="333333"/>
          <w:sz w:val="21"/>
          <w:szCs w:val="21"/>
        </w:rPr>
        <w:t xml:space="preserve">Familiarity with Kubernetes, container orchestration, and observability tools — you may need to diagnose why a client’s data pipeline is slow or why their analytics dashboard isn’t refreshing.</w:t>
      </w:r>
    </w:p>
    <w:p>
      <w:pPr>
        <w:spacing w:after="160"/>
      </w:pPr>
      <w:r>
        <w:rPr>
          <w:rFonts w:ascii="Arial" w:cs="Arial" w:eastAsia="Arial" w:hAnsi="Arial"/>
          <w:color w:val="333333"/>
          <w:sz w:val="21"/>
          <w:szCs w:val="21"/>
        </w:rPr>
        <w:t xml:space="preserve">Proficiency with agentic AI — you know how to create skills for repetitive integration patterns, build harnesses that validate your work, and use slash commands to accelerate field workflows. You understand the model’s limitations well enough to know when to trust its output and when to verify manually.</w:t>
      </w:r>
    </w:p>
    <w:p>
      <w:pPr>
        <w:spacing w:after="160"/>
      </w:pPr>
      <w:r>
        <w:rPr>
          <w:rFonts w:ascii="Arial" w:cs="Arial" w:eastAsia="Arial" w:hAnsi="Arial"/>
          <w:color w:val="333333"/>
          <w:sz w:val="21"/>
          <w:szCs w:val="21"/>
        </w:rPr>
        <w:t xml:space="preserve">Excellent communication. You can sit across from a real estate developer’s VP of Sales and translate their business problem into a technical solution. You can also sit across from our engineering team and translate field chaos into structured product requirements.</w:t>
      </w:r>
    </w:p>
    <w:p>
      <w:pPr>
        <w:spacing w:after="160"/>
      </w:pPr>
      <w:r>
        <w:rPr>
          <w:rFonts w:ascii="Arial" w:cs="Arial" w:eastAsia="Arial" w:hAnsi="Arial"/>
          <w:color w:val="333333"/>
          <w:sz w:val="21"/>
          <w:szCs w:val="21"/>
        </w:rPr>
        <w:t xml:space="preserve">You’re comfortable with ambiguity, travel, and the reality that client problems don’t fit neatly into Jira tickets. You have a bias for action — when something’s broken at a client site, you fix it first and file the ticket later.</w:t>
      </w:r>
    </w:p>
    <w:p>
      <w:pPr>
        <w:pBdr>
          <w:bottom w:val="single" w:color="DDDDDD" w:sz="2" w:space="6"/>
        </w:pBdr>
        <w:spacing w:after="160" w:before="300"/>
      </w:pPr>
      <w:r>
        <w:rPr>
          <w:rFonts w:ascii="Arial" w:cs="Arial" w:eastAsia="Arial" w:hAnsi="Arial"/>
          <w:b/>
          <w:bCs/>
          <w:color w:val="E84118"/>
          <w:sz w:val="26"/>
          <w:szCs w:val="26"/>
        </w:rPr>
        <w:t xml:space="preserve">What Success Looks Like</w:t>
      </w:r>
    </w:p>
    <w:p>
      <w:pPr>
        <w:spacing w:after="100" w:before="200"/>
      </w:pPr>
      <w:r>
        <w:rPr>
          <w:rFonts w:ascii="Arial" w:cs="Arial" w:eastAsia="Arial" w:hAnsi="Arial"/>
          <w:b/>
          <w:bCs/>
          <w:color w:val="E84118"/>
          <w:sz w:val="21"/>
          <w:szCs w:val="21"/>
        </w:rPr>
        <w:t xml:space="preserve">Week 1:</w:t>
      </w:r>
    </w:p>
    <w:p>
      <w:pPr>
        <w:spacing w:after="160"/>
      </w:pPr>
      <w:r>
        <w:rPr>
          <w:rFonts w:ascii="Arial" w:cs="Arial" w:eastAsia="Arial" w:hAnsi="Arial"/>
          <w:color w:val="333333"/>
          <w:sz w:val="21"/>
          <w:szCs w:val="21"/>
        </w:rPr>
        <w:t xml:space="preserve">You’ve shadowed a senior engineer on a client deployment. You understand our deployment playbook, our Salesforce integration patterns, and how we configure voice agents for new projects.</w:t>
      </w:r>
    </w:p>
    <w:p>
      <w:pPr>
        <w:spacing w:after="100" w:before="200"/>
      </w:pPr>
      <w:r>
        <w:rPr>
          <w:rFonts w:ascii="Arial" w:cs="Arial" w:eastAsia="Arial" w:hAnsi="Arial"/>
          <w:b/>
          <w:bCs/>
          <w:color w:val="E84118"/>
          <w:sz w:val="21"/>
          <w:szCs w:val="21"/>
        </w:rPr>
        <w:t xml:space="preserve">Week 2:</w:t>
      </w:r>
    </w:p>
    <w:p>
      <w:pPr>
        <w:spacing w:after="160"/>
      </w:pPr>
      <w:r>
        <w:rPr>
          <w:rFonts w:ascii="Arial" w:cs="Arial" w:eastAsia="Arial" w:hAnsi="Arial"/>
          <w:color w:val="333333"/>
          <w:sz w:val="21"/>
          <w:szCs w:val="21"/>
        </w:rPr>
        <w:t xml:space="preserve">You’ve owned a client configuration task end-to-end — setting up a new project in our system, configuring the voice agent, and verifying the integration works. You’ve built your first agentic AI slash command for a repetitive deployment step.</w:t>
      </w:r>
    </w:p>
    <w:p>
      <w:pPr>
        <w:spacing w:after="100" w:before="200"/>
      </w:pPr>
      <w:r>
        <w:rPr>
          <w:rFonts w:ascii="Arial" w:cs="Arial" w:eastAsia="Arial" w:hAnsi="Arial"/>
          <w:b/>
          <w:bCs/>
          <w:color w:val="E84118"/>
          <w:sz w:val="21"/>
          <w:szCs w:val="21"/>
        </w:rPr>
        <w:t xml:space="preserve">Week 4:</w:t>
      </w:r>
    </w:p>
    <w:p>
      <w:pPr>
        <w:spacing w:after="160"/>
      </w:pPr>
      <w:r>
        <w:rPr>
          <w:rFonts w:ascii="Arial" w:cs="Arial" w:eastAsia="Arial" w:hAnsi="Arial"/>
          <w:color w:val="333333"/>
          <w:sz w:val="21"/>
          <w:szCs w:val="21"/>
        </w:rPr>
        <w:t xml:space="preserve">You’ve been on-site at a client location independently. You’ve handled a deployment, resolved at least one unexpected issue in the field, and brought back a documented insight that the product team acted on. You’ve contributed at least one reusable skill to our FDE agentic AI toolkit.</w:t>
      </w:r>
    </w:p>
    <w:p>
      <w:pPr>
        <w:pBdr>
          <w:bottom w:val="single" w:color="DDDDDD" w:sz="2" w:space="6"/>
        </w:pBdr>
        <w:spacing w:after="160" w:before="300"/>
      </w:pPr>
      <w:r>
        <w:rPr>
          <w:rFonts w:ascii="Arial" w:cs="Arial" w:eastAsia="Arial" w:hAnsi="Arial"/>
          <w:b/>
          <w:bCs/>
          <w:color w:val="E84118"/>
          <w:sz w:val="26"/>
          <w:szCs w:val="26"/>
        </w:rPr>
        <w:t xml:space="preserve">Why This Matters</w:t>
      </w:r>
    </w:p>
    <w:p>
      <w:pPr>
        <w:spacing w:after="160"/>
      </w:pPr>
      <w:r>
        <w:rPr>
          <w:rFonts w:ascii="Arial" w:cs="Arial" w:eastAsia="Arial" w:hAnsi="Arial"/>
          <w:color w:val="333333"/>
          <w:sz w:val="21"/>
          <w:szCs w:val="21"/>
        </w:rPr>
        <w:t xml:space="preserve">We show our customers exactly what our AI is doing and why. No black boxes. If something isn’t working, we’re the first to say so — and the first to fix it. As an FDE, you are that promise, in person. When a developer trusts Zetta with their sales pipeline — their revenue lifeline — that trust was built by someone like you sitting in their office, understanding their business, and making the technology work for them.</w:t>
      </w:r>
    </w:p>
    <w:p>
      <w:pPr>
        <w:spacing w:before="400"/>
      </w:pPr>
    </w:p>
    <w:p>
      <w:pPr>
        <w:pBdr>
          <w:top w:val="single" w:color="E84118" w:sz="2" w:space="8"/>
        </w:pBdr>
        <w:spacing w:before="200"/>
      </w:pPr>
      <w:r>
        <w:rPr>
          <w:rFonts w:ascii="Arial" w:cs="Arial" w:eastAsia="Arial" w:hAnsi="Arial"/>
          <w:color w:val="555555"/>
          <w:sz w:val="18"/>
          <w:szCs w:val="18"/>
        </w:rPr>
        <w:t xml:space="preserve">Apply: </w:t>
      </w:r>
      <w:r>
        <w:rPr>
          <w:rFonts w:ascii="Arial" w:cs="Arial" w:eastAsia="Arial" w:hAnsi="Arial"/>
          <w:b/>
          <w:bCs/>
          <w:color w:val="E84118"/>
          <w:sz w:val="18"/>
          <w:szCs w:val="18"/>
        </w:rPr>
        <w:t xml:space="preserve">careers@zettatech.in</w:t>
      </w:r>
      <w:r>
        <w:rPr>
          <w:rFonts w:ascii="Arial" w:cs="Arial" w:eastAsia="Arial" w:hAnsi="Arial"/>
          <w:color w:val="CCCCCC"/>
          <w:sz w:val="18"/>
          <w:szCs w:val="18"/>
        </w:rPr>
        <w:t xml:space="preserve">  |  </w:t>
      </w:r>
      <w:r>
        <w:rPr>
          <w:rFonts w:ascii="Arial" w:cs="Arial" w:eastAsia="Arial" w:hAnsi="Arial"/>
          <w:b/>
          <w:bCs/>
          <w:color w:val="E84118"/>
          <w:sz w:val="18"/>
          <w:szCs w:val="18"/>
        </w:rPr>
        <w:t xml:space="preserve">zettatech.in/careers</w:t>
      </w:r>
    </w:p>
    <w:p>
      <w:pPr>
        <w:spacing w:after="40"/>
      </w:pPr>
      <w:r>
        <w:rPr>
          <w:rFonts w:ascii="Arial" w:cs="Arial" w:eastAsia="Arial" w:hAnsi="Arial"/>
          <w:color w:val="555555"/>
          <w:sz w:val="16"/>
          <w:szCs w:val="16"/>
        </w:rPr>
        <w:t xml:space="preserve">© 2026 Zetta Tech Hospitality LLP. All rights reserved.</w:t>
      </w:r>
    </w:p>
    <w:sectPr>
      <w:pgSz w:w="12240" w:h="15840" w:orient="portrait"/>
      <w:pgMar w:top="1440" w:right="1440" w:bottom="108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6e5c2261810dd9f6b449704782e1f60739176f47.png"/><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2026-03-28T08:49:40.456Z</dcterms:created>
  <dcterms:modified xsi:type="dcterms:W3CDTF">2026-03-28T08:49:40.456Z</dcterms:modified>
</cp:coreProperties>
</file>

<file path=docProps/custom.xml><?xml version="1.0" encoding="utf-8"?>
<Properties xmlns="http://schemas.openxmlformats.org/officeDocument/2006/custom-properties" xmlns:vt="http://schemas.openxmlformats.org/officeDocument/2006/docPropsVTypes"/>
</file>